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rPr>
      </w:pPr>
      <w:bookmarkStart w:id="0" w:name="RANGE!A1:AH10"/>
      <w:bookmarkEnd w:id="0"/>
      <w:r>
        <w:rPr>
          <w:rFonts w:hint="eastAsia" w:ascii="方正小标宋简体" w:hAnsi="Times New Roman" w:eastAsia="方正小标宋简体" w:cs="Times New Roman"/>
          <w:color w:val="auto"/>
          <w:sz w:val="44"/>
          <w:szCs w:val="44"/>
        </w:rPr>
        <w:t>霸州市</w:t>
      </w:r>
      <w:r>
        <w:rPr>
          <w:rFonts w:hint="eastAsia" w:ascii="方正小标宋简体" w:hAnsi="Times New Roman" w:eastAsia="方正小标宋简体" w:cs="Times New Roman"/>
          <w:color w:val="auto"/>
          <w:sz w:val="44"/>
          <w:szCs w:val="44"/>
          <w:lang w:val="en-US" w:eastAsia="zh-CN"/>
        </w:rPr>
        <w:t>交通运输局</w:t>
      </w:r>
      <w:r>
        <w:rPr>
          <w:rFonts w:hint="eastAsia" w:ascii="方正小标宋简体" w:hAnsi="Times New Roman" w:eastAsia="方正小标宋简体" w:cs="Times New Roman"/>
          <w:color w:val="auto"/>
          <w:sz w:val="44"/>
          <w:szCs w:val="44"/>
        </w:rPr>
        <w:t>20</w:t>
      </w:r>
      <w:r>
        <w:rPr>
          <w:rFonts w:ascii="方正小标宋简体" w:hAnsi="Times New Roman" w:eastAsia="方正小标宋简体" w:cs="Times New Roman"/>
          <w:color w:val="auto"/>
          <w:sz w:val="44"/>
          <w:szCs w:val="44"/>
        </w:rPr>
        <w:t>2</w:t>
      </w:r>
      <w:r>
        <w:rPr>
          <w:rFonts w:hint="eastAsia" w:ascii="方正小标宋简体" w:hAnsi="Times New Roman" w:eastAsia="方正小标宋简体" w:cs="Times New Roman"/>
          <w:color w:val="auto"/>
          <w:sz w:val="44"/>
          <w:szCs w:val="44"/>
          <w:lang w:val="en-US" w:eastAsia="zh-CN"/>
        </w:rPr>
        <w:t>1</w:t>
      </w:r>
      <w:r>
        <w:rPr>
          <w:rFonts w:hint="eastAsia" w:ascii="方正小标宋简体" w:hAnsi="Times New Roman" w:eastAsia="方正小标宋简体" w:cs="Times New Roman"/>
          <w:color w:val="auto"/>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（一）承担全市综合运输体系的规划协调，会同有关部门组织编制全市综合运输体系规划，负责交通运输枢纽规划和管理；</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遵照省交通运输厅、廊坊市交通运输局制定的行业规划、政策和标准，组织拟订并监督实施全市公路、轨道交通、地方铁路等行业规划。组织起草地方性交通管理办法。参与拟订物流业发展战略和规划，监督实施国家、省有关政策和标准。指导相关行业体制改革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承担全市公路、轨道交通、地方铁路运输市场监管责任。组织拟订公路、轨道交通、地方铁路运输有关制度、准入退出制度、车辆维修、停车场、搬运装卸、机动车性能检测、机动车驾驶学校和驾驶员培训的行业管理。负责城、乡客货运输及有关设施规划和管理工作。负责出租汽车行业管理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（四）负责提出交通运输行业固定资产投资规模和方向、市财政性资金安排建议，按市政府规定权限审批、核准市规划内和年度计划规模内的固定资产投资项目。负责行业内部审计；</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五）承担全市交通运输基础设施建设市场监管责任。拟订全市交通运输基础设施建设相关政策、制度和技术标准并监督实施。组织公路及其设施的建设、养护和管理。负责全市公路、地方铁路、轨道交通、空港、物流等有关重点工程建设、工程质量和安全生产的监督。负责全市交通运输基本建设项目招投标活动的监督管理。负责全市收费公路管理；</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（六）负责全市轨道交通、地方铁路行业管理行业，协调国家、省铁路项目前期、建设和运输等相关工作；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（七）拟订全市水上交通、民航行业有关规划，负责全市水上交通、民航行业发展建设和管理的组织协调； </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八）指导全市公路、水上交通、轨道交通、地方铁路安全生产和应急管理。按规定组织协调国家、省、市重点物资和紧急客货运输。负责全市业主高速公路及重点干线路网运行监测和协调。承担国防交通战略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（九）指导全市交通运输信息化建设，监测分析运行情况，开展相关统计工作，发布有关信息。指导行业环境保护和节能减排工作；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（十）制定全市交通运输行业科技政策、技术标准和规范；组织科技开发，推动行业技术进步；指导交通运输行业精神文明建设；</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（十一）负责局机关并指导局属单位人事、劳动、机构编制、人才队伍建设工作；</w:t>
      </w:r>
    </w:p>
    <w:p>
      <w:pPr>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color w:val="auto"/>
          <w:sz w:val="32"/>
          <w:szCs w:val="32"/>
        </w:rPr>
        <w:t>（十二）承办市政府交办的其他事项。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霸州市交通运输局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color w:val="auto"/>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b/>
          <w:color w:val="auto"/>
          <w:sz w:val="32"/>
          <w:szCs w:val="32"/>
        </w:rPr>
      </w:pPr>
      <w:r>
        <w:rPr>
          <w:rFonts w:hint="eastAsia" w:ascii="仿宋_GB2312" w:hAnsi="Times New Roman" w:eastAsia="仿宋_GB2312" w:cs="Times New Roman"/>
          <w:color w:val="auto"/>
          <w:sz w:val="32"/>
          <w:szCs w:val="32"/>
        </w:rPr>
        <w:t>反映本部门当年全部收入。20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年预算收入</w:t>
      </w:r>
      <w:r>
        <w:rPr>
          <w:rFonts w:hint="eastAsia" w:ascii="仿宋_GB2312" w:hAnsi="Times New Roman" w:eastAsia="仿宋_GB2312" w:cs="Times New Roman"/>
          <w:color w:val="auto"/>
          <w:sz w:val="32"/>
          <w:szCs w:val="32"/>
          <w:lang w:val="en-US" w:eastAsia="zh-CN"/>
        </w:rPr>
        <w:t>37899.44</w:t>
      </w:r>
      <w:r>
        <w:rPr>
          <w:rFonts w:hint="eastAsia" w:ascii="仿宋_GB2312" w:hAnsi="Times New Roman" w:eastAsia="仿宋_GB2312" w:cs="Times New Roman"/>
          <w:color w:val="auto"/>
          <w:sz w:val="32"/>
          <w:szCs w:val="32"/>
        </w:rPr>
        <w:t>万元，其中：一般公共预算收入</w:t>
      </w:r>
      <w:r>
        <w:rPr>
          <w:rFonts w:hint="eastAsia" w:ascii="仿宋_GB2312" w:hAnsi="Times New Roman" w:eastAsia="仿宋_GB2312" w:cs="Times New Roman"/>
          <w:color w:val="auto"/>
          <w:sz w:val="32"/>
          <w:szCs w:val="32"/>
          <w:lang w:val="en-US" w:eastAsia="zh-CN"/>
        </w:rPr>
        <w:t>36496.09</w:t>
      </w:r>
      <w:r>
        <w:rPr>
          <w:rFonts w:hint="eastAsia" w:ascii="仿宋_GB2312" w:hAnsi="Times New Roman" w:eastAsia="仿宋_GB2312" w:cs="Times New Roman"/>
          <w:color w:val="auto"/>
          <w:sz w:val="32"/>
          <w:szCs w:val="32"/>
        </w:rPr>
        <w:t>万元，政府性基金预算收入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，国有资本经营</w:t>
      </w:r>
      <w:r>
        <w:rPr>
          <w:rFonts w:ascii="仿宋_GB2312" w:hAnsi="Times New Roman" w:eastAsia="仿宋_GB2312" w:cs="Times New Roman"/>
          <w:color w:val="auto"/>
          <w:sz w:val="32"/>
          <w:szCs w:val="32"/>
        </w:rPr>
        <w:t>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1351.26</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上年结转52.09万元。</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lang w:val="en-US" w:eastAsia="zh-CN"/>
        </w:rPr>
        <w:t>交通运输局</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年度部门预算中支出预算的总体情况。20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37899.44</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8906.54</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8061.68</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844.86</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28992.9</w:t>
      </w:r>
      <w:r>
        <w:rPr>
          <w:rFonts w:hint="eastAsia" w:ascii="仿宋_GB2312" w:hAnsi="Times New Roman" w:eastAsia="仿宋_GB2312" w:cs="Times New Roman"/>
          <w:color w:val="auto"/>
          <w:sz w:val="32"/>
          <w:szCs w:val="32"/>
        </w:rPr>
        <w:t>万元，全部为</w:t>
      </w:r>
      <w:r>
        <w:rPr>
          <w:rFonts w:hint="eastAsia" w:ascii="仿宋_GB2312" w:hAnsi="Times New Roman" w:eastAsia="仿宋_GB2312" w:cs="Times New Roman"/>
          <w:sz w:val="32"/>
          <w:szCs w:val="32"/>
        </w:rPr>
        <w:t>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主要为农村公路养护补助资金、全市国三及以下排放标准营运柴油货车提前淘汰补贴资金、国省干线公路日常养护经费</w:t>
      </w:r>
      <w:r>
        <w:rPr>
          <w:rFonts w:hint="eastAsia" w:ascii="仿宋_GB2312" w:hAnsi="Times New Roman" w:eastAsia="仿宋_GB2312" w:cs="Times New Roman"/>
          <w:sz w:val="32"/>
          <w:szCs w:val="32"/>
          <w:lang w:eastAsia="zh-CN"/>
        </w:rPr>
        <w:t>、土地拍卖划转税款</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highlight w:val="none"/>
          <w:shd w:val="clear" w:color="auto" w:fill="auto"/>
        </w:rPr>
        <w:t>20</w:t>
      </w:r>
      <w:r>
        <w:rPr>
          <w:rFonts w:ascii="仿宋_GB2312" w:hAnsi="Times New Roman" w:eastAsia="仿宋_GB2312" w:cs="Times New Roman"/>
          <w:color w:val="000000" w:themeColor="text1"/>
          <w:sz w:val="32"/>
          <w:szCs w:val="32"/>
          <w:highlight w:val="none"/>
          <w:shd w:val="clear" w:color="auto" w:fill="auto"/>
        </w:rPr>
        <w:t>2</w:t>
      </w:r>
      <w:r>
        <w:rPr>
          <w:rFonts w:hint="eastAsia" w:ascii="仿宋_GB2312" w:hAnsi="Times New Roman" w:eastAsia="仿宋_GB2312" w:cs="Times New Roman"/>
          <w:color w:val="000000" w:themeColor="text1"/>
          <w:sz w:val="32"/>
          <w:szCs w:val="32"/>
          <w:highlight w:val="none"/>
          <w:shd w:val="clear" w:color="auto" w:fill="auto"/>
          <w:lang w:val="en-US" w:eastAsia="zh-CN"/>
        </w:rPr>
        <w:t>1</w:t>
      </w:r>
      <w:r>
        <w:rPr>
          <w:rFonts w:hint="eastAsia" w:ascii="仿宋_GB2312" w:hAnsi="Times New Roman" w:eastAsia="仿宋_GB2312" w:cs="Times New Roman"/>
          <w:color w:val="000000" w:themeColor="text1"/>
          <w:sz w:val="32"/>
          <w:szCs w:val="32"/>
          <w:highlight w:val="none"/>
          <w:shd w:val="clear" w:color="auto" w:fill="auto"/>
        </w:rPr>
        <w:t>年预算收支安排</w:t>
      </w:r>
      <w:r>
        <w:rPr>
          <w:rFonts w:hint="eastAsia" w:ascii="仿宋_GB2312" w:hAnsi="Times New Roman" w:eastAsia="仿宋_GB2312" w:cs="Times New Roman"/>
          <w:color w:val="000000" w:themeColor="text1"/>
          <w:sz w:val="32"/>
          <w:szCs w:val="32"/>
          <w:highlight w:val="none"/>
          <w:shd w:val="clear" w:color="auto" w:fill="auto"/>
          <w:lang w:val="en-US" w:eastAsia="zh-CN"/>
        </w:rPr>
        <w:t>37899.44</w:t>
      </w:r>
      <w:r>
        <w:rPr>
          <w:rFonts w:hint="eastAsia" w:ascii="仿宋_GB2312" w:hAnsi="Times New Roman" w:eastAsia="仿宋_GB2312" w:cs="Times New Roman"/>
          <w:color w:val="000000" w:themeColor="text1"/>
          <w:sz w:val="32"/>
          <w:szCs w:val="32"/>
          <w:highlight w:val="none"/>
          <w:shd w:val="clear" w:color="auto" w:fill="auto"/>
        </w:rPr>
        <w:t>万元，较20</w:t>
      </w:r>
      <w:r>
        <w:rPr>
          <w:rFonts w:hint="eastAsia" w:ascii="仿宋_GB2312" w:hAnsi="Times New Roman" w:eastAsia="仿宋_GB2312" w:cs="Times New Roman"/>
          <w:color w:val="000000" w:themeColor="text1"/>
          <w:sz w:val="32"/>
          <w:szCs w:val="32"/>
          <w:highlight w:val="none"/>
          <w:shd w:val="clear" w:color="auto" w:fill="auto"/>
          <w:lang w:val="en-US" w:eastAsia="zh-CN"/>
        </w:rPr>
        <w:t>20</w:t>
      </w:r>
      <w:r>
        <w:rPr>
          <w:rFonts w:hint="eastAsia" w:ascii="仿宋_GB2312" w:hAnsi="Times New Roman" w:eastAsia="仿宋_GB2312" w:cs="Times New Roman"/>
          <w:color w:val="000000" w:themeColor="text1"/>
          <w:sz w:val="32"/>
          <w:szCs w:val="32"/>
          <w:highlight w:val="none"/>
          <w:shd w:val="clear" w:color="auto" w:fill="auto"/>
        </w:rPr>
        <w:t>预算增加</w:t>
      </w:r>
      <w:r>
        <w:rPr>
          <w:rFonts w:hint="eastAsia" w:ascii="仿宋_GB2312" w:hAnsi="Times New Roman" w:eastAsia="仿宋_GB2312" w:cs="Times New Roman"/>
          <w:color w:val="000000" w:themeColor="text1"/>
          <w:sz w:val="32"/>
          <w:szCs w:val="32"/>
          <w:highlight w:val="none"/>
          <w:shd w:val="clear" w:color="auto" w:fill="auto"/>
          <w:lang w:val="en-US" w:eastAsia="zh-CN"/>
        </w:rPr>
        <w:t>22766.19</w:t>
      </w:r>
      <w:r>
        <w:rPr>
          <w:rFonts w:hint="eastAsia" w:ascii="仿宋_GB2312" w:hAnsi="Times New Roman" w:eastAsia="仿宋_GB2312" w:cs="Times New Roman"/>
          <w:color w:val="000000" w:themeColor="text1"/>
          <w:sz w:val="32"/>
          <w:szCs w:val="32"/>
          <w:highlight w:val="none"/>
          <w:shd w:val="clear" w:color="auto" w:fill="auto"/>
        </w:rPr>
        <w:t>万元，其中：基本支出增加</w:t>
      </w:r>
      <w:r>
        <w:rPr>
          <w:rFonts w:hint="eastAsia" w:ascii="仿宋_GB2312" w:hAnsi="Times New Roman" w:eastAsia="仿宋_GB2312" w:cs="Times New Roman"/>
          <w:color w:val="000000" w:themeColor="text1"/>
          <w:sz w:val="32"/>
          <w:szCs w:val="32"/>
          <w:highlight w:val="none"/>
          <w:shd w:val="clear" w:color="auto" w:fill="auto"/>
          <w:lang w:val="en-US" w:eastAsia="zh-CN"/>
        </w:rPr>
        <w:t>113.49</w:t>
      </w:r>
      <w:r>
        <w:rPr>
          <w:rFonts w:hint="eastAsia" w:ascii="仿宋_GB2312" w:hAnsi="Times New Roman" w:eastAsia="仿宋_GB2312" w:cs="Times New Roman"/>
          <w:color w:val="000000" w:themeColor="text1"/>
          <w:sz w:val="32"/>
          <w:szCs w:val="32"/>
          <w:highlight w:val="none"/>
          <w:shd w:val="clear" w:color="auto" w:fill="auto"/>
        </w:rPr>
        <w:t>万元，主要为增加</w:t>
      </w:r>
      <w:r>
        <w:rPr>
          <w:rFonts w:hint="eastAsia" w:ascii="仿宋_GB2312" w:hAnsi="Times New Roman" w:eastAsia="仿宋_GB2312" w:cs="Times New Roman"/>
          <w:color w:val="000000" w:themeColor="text1"/>
          <w:sz w:val="32"/>
          <w:szCs w:val="32"/>
          <w:highlight w:val="none"/>
          <w:shd w:val="clear" w:color="auto" w:fill="auto"/>
          <w:lang w:val="en-US" w:eastAsia="zh-CN"/>
        </w:rPr>
        <w:t>公用经费</w:t>
      </w:r>
      <w:r>
        <w:rPr>
          <w:rFonts w:hint="eastAsia" w:ascii="仿宋_GB2312" w:hAnsi="Times New Roman" w:eastAsia="仿宋_GB2312" w:cs="Times New Roman"/>
          <w:color w:val="000000" w:themeColor="text1"/>
          <w:sz w:val="32"/>
          <w:szCs w:val="32"/>
          <w:highlight w:val="none"/>
          <w:shd w:val="clear" w:color="auto" w:fill="auto"/>
        </w:rPr>
        <w:t>支出；项目支出增加</w:t>
      </w:r>
      <w:r>
        <w:rPr>
          <w:rFonts w:hint="eastAsia" w:ascii="仿宋_GB2312" w:hAnsi="Times New Roman" w:eastAsia="仿宋_GB2312" w:cs="Times New Roman"/>
          <w:color w:val="000000" w:themeColor="text1"/>
          <w:sz w:val="32"/>
          <w:szCs w:val="32"/>
          <w:highlight w:val="none"/>
          <w:shd w:val="clear" w:color="auto" w:fill="auto"/>
          <w:lang w:val="en-US" w:eastAsia="zh-CN"/>
        </w:rPr>
        <w:t>22652.7</w:t>
      </w:r>
      <w:r>
        <w:rPr>
          <w:rFonts w:hint="eastAsia" w:ascii="仿宋_GB2312" w:hAnsi="Times New Roman" w:eastAsia="仿宋_GB2312" w:cs="Times New Roman"/>
          <w:color w:val="000000" w:themeColor="text1"/>
          <w:sz w:val="32"/>
          <w:szCs w:val="32"/>
          <w:highlight w:val="none"/>
          <w:shd w:val="clear" w:color="auto" w:fill="auto"/>
        </w:rPr>
        <w:t>万元，主要为增加土地拍卖划转税款</w:t>
      </w:r>
      <w:r>
        <w:rPr>
          <w:rFonts w:hint="eastAsia" w:ascii="仿宋_GB2312" w:hAnsi="Times New Roman" w:eastAsia="仿宋_GB2312" w:cs="Times New Roman"/>
          <w:color w:val="000000" w:themeColor="text1"/>
          <w:sz w:val="32"/>
          <w:szCs w:val="32"/>
          <w:highlight w:val="none"/>
          <w:shd w:val="clear" w:color="auto" w:fill="auto"/>
          <w:lang w:eastAsia="zh-CN"/>
        </w:rPr>
        <w:t>、全市国三及以下排放标准营运柴油货车提前淘汰补贴资金</w:t>
      </w:r>
      <w:r>
        <w:rPr>
          <w:rFonts w:hint="eastAsia" w:ascii="仿宋_GB2312" w:hAnsi="Times New Roman" w:eastAsia="仿宋_GB2312" w:cs="Times New Roman"/>
          <w:color w:val="000000" w:themeColor="text1"/>
          <w:sz w:val="32"/>
          <w:szCs w:val="32"/>
          <w:highlight w:val="none"/>
          <w:shd w:val="clear" w:color="auto" w:fill="auto"/>
          <w:lang w:val="en-US" w:eastAsia="zh-CN"/>
        </w:rPr>
        <w:t>等</w:t>
      </w:r>
      <w:r>
        <w:rPr>
          <w:rFonts w:hint="eastAsia" w:ascii="仿宋_GB2312" w:hAnsi="Times New Roman" w:eastAsia="仿宋_GB2312" w:cs="Times New Roman"/>
          <w:color w:val="000000" w:themeColor="text1"/>
          <w:sz w:val="32"/>
          <w:szCs w:val="32"/>
          <w:highlight w:val="none"/>
          <w:shd w:val="clear" w:color="auto" w:fill="auto"/>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bookmarkStart w:id="3" w:name="_GoBack"/>
      <w:bookmarkEnd w:id="3"/>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lang w:val="en-US" w:eastAsia="zh-CN"/>
        </w:rPr>
        <w:t>2021年，我部门运行经费共计安排844.86</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一般设备购置费、办公用房物业管理费、公务用车运行维护费、公务接待费、培训费、工会经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35.65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32</w:t>
      </w:r>
      <w:r>
        <w:rPr>
          <w:rFonts w:hint="eastAsia" w:ascii="仿宋_GB2312" w:hAnsi="Times New Roman" w:eastAsia="仿宋_GB2312" w:cs="Times New Roman"/>
          <w:b w:val="0"/>
          <w:bCs w:val="0"/>
          <w:sz w:val="32"/>
          <w:szCs w:val="32"/>
          <w:lang w:val="en-US" w:eastAsia="zh-CN"/>
        </w:rPr>
        <w:t>.5</w:t>
      </w:r>
      <w:r>
        <w:rPr>
          <w:rFonts w:hint="eastAsia" w:ascii="仿宋_GB2312" w:hAnsi="Times New Roman" w:eastAsia="仿宋_GB2312" w:cs="Times New Roman"/>
          <w:b w:val="0"/>
          <w:bCs w:val="0"/>
          <w:sz w:val="32"/>
          <w:szCs w:val="32"/>
        </w:rPr>
        <w:t>万元（其中：公务用车购置费</w:t>
      </w:r>
      <w:r>
        <w:rPr>
          <w:rFonts w:hint="eastAsia" w:ascii="仿宋_GB2312" w:hAnsi="Times New Roman" w:eastAsia="仿宋_GB2312" w:cs="Times New Roman"/>
          <w:b w:val="0"/>
          <w:bCs w:val="0"/>
          <w:sz w:val="32"/>
          <w:szCs w:val="32"/>
          <w:lang w:val="en-US" w:eastAsia="zh-CN"/>
        </w:rPr>
        <w:t>0</w:t>
      </w:r>
      <w:r>
        <w:rPr>
          <w:rFonts w:hint="eastAsia" w:ascii="仿宋_GB2312" w:hAnsi="Times New Roman" w:eastAsia="仿宋_GB2312" w:cs="Times New Roman"/>
          <w:b w:val="0"/>
          <w:bCs w:val="0"/>
          <w:sz w:val="32"/>
          <w:szCs w:val="32"/>
        </w:rPr>
        <w:t>万元，公务用车运行维护费</w:t>
      </w:r>
      <w:r>
        <w:rPr>
          <w:rFonts w:hint="eastAsia" w:ascii="仿宋_GB2312" w:hAnsi="Times New Roman" w:eastAsia="仿宋_GB2312" w:cs="Times New Roman"/>
          <w:b w:val="0"/>
          <w:bCs w:val="0"/>
          <w:sz w:val="32"/>
          <w:szCs w:val="32"/>
          <w:lang w:val="en-US" w:eastAsia="zh-CN"/>
        </w:rPr>
        <w:t>32.5</w:t>
      </w:r>
      <w:r>
        <w:rPr>
          <w:rFonts w:hint="eastAsia" w:ascii="仿宋_GB2312" w:hAnsi="Times New Roman" w:eastAsia="仿宋_GB2312" w:cs="Times New Roman"/>
          <w:b w:val="0"/>
          <w:bCs w:val="0"/>
          <w:sz w:val="32"/>
          <w:szCs w:val="32"/>
        </w:rPr>
        <w:t>万元)；公务接待费</w:t>
      </w:r>
      <w:r>
        <w:rPr>
          <w:rFonts w:hint="eastAsia" w:ascii="仿宋_GB2312" w:hAnsi="Times New Roman" w:eastAsia="仿宋_GB2312" w:cs="Times New Roman"/>
          <w:b w:val="0"/>
          <w:bCs w:val="0"/>
          <w:sz w:val="32"/>
          <w:szCs w:val="32"/>
          <w:lang w:val="en-US" w:eastAsia="zh-CN"/>
        </w:rPr>
        <w:t>3.15</w:t>
      </w:r>
      <w:r>
        <w:rPr>
          <w:rFonts w:hint="eastAsia" w:ascii="仿宋_GB2312" w:hAnsi="Times New Roman" w:eastAsia="仿宋_GB2312" w:cs="Times New Roman"/>
          <w:b w:val="0"/>
          <w:bCs w:val="0"/>
          <w:sz w:val="32"/>
          <w:szCs w:val="32"/>
        </w:rPr>
        <w:t>万元，</w:t>
      </w:r>
      <w:r>
        <w:rPr>
          <w:rFonts w:hint="eastAsia" w:ascii="仿宋_GB2312" w:hAnsi="Times New Roman" w:eastAsia="仿宋_GB2312" w:cs="Times New Roman"/>
          <w:b w:val="0"/>
          <w:bCs w:val="0"/>
          <w:color w:val="auto"/>
          <w:sz w:val="32"/>
          <w:szCs w:val="32"/>
        </w:rPr>
        <w:t>较20</w:t>
      </w:r>
      <w:r>
        <w:rPr>
          <w:rFonts w:hint="eastAsia" w:ascii="仿宋_GB2312" w:hAnsi="Times New Roman" w:eastAsia="仿宋_GB2312" w:cs="Times New Roman"/>
          <w:b w:val="0"/>
          <w:bCs w:val="0"/>
          <w:color w:val="auto"/>
          <w:sz w:val="32"/>
          <w:szCs w:val="32"/>
          <w:lang w:val="en-US" w:eastAsia="zh-CN"/>
        </w:rPr>
        <w:t>20</w:t>
      </w:r>
      <w:r>
        <w:rPr>
          <w:rFonts w:hint="eastAsia" w:ascii="仿宋_GB2312" w:hAnsi="Times New Roman" w:eastAsia="仿宋_GB2312" w:cs="Times New Roman"/>
          <w:b w:val="0"/>
          <w:bCs w:val="0"/>
          <w:color w:val="auto"/>
          <w:sz w:val="32"/>
          <w:szCs w:val="32"/>
        </w:rPr>
        <w:t>年“三公”经费</w:t>
      </w:r>
      <w:r>
        <w:rPr>
          <w:rFonts w:hint="eastAsia" w:ascii="仿宋_GB2312" w:hAnsi="Times New Roman" w:eastAsia="仿宋_GB2312" w:cs="Times New Roman"/>
          <w:b w:val="0"/>
          <w:bCs w:val="0"/>
          <w:color w:val="auto"/>
          <w:sz w:val="32"/>
          <w:szCs w:val="32"/>
          <w:lang w:val="en-US" w:eastAsia="zh-CN"/>
        </w:rPr>
        <w:t>减少3.15</w:t>
      </w:r>
      <w:r>
        <w:rPr>
          <w:rFonts w:hint="eastAsia" w:ascii="仿宋_GB2312" w:hAnsi="Times New Roman" w:eastAsia="仿宋_GB2312" w:cs="Times New Roman"/>
          <w:b w:val="0"/>
          <w:bCs w:val="0"/>
          <w:color w:val="auto"/>
          <w:sz w:val="32"/>
          <w:szCs w:val="32"/>
        </w:rPr>
        <w:t>万元，主要是因为因公出国（境）费与20</w:t>
      </w:r>
      <w:r>
        <w:rPr>
          <w:rFonts w:hint="eastAsia" w:ascii="仿宋_GB2312" w:hAnsi="Times New Roman" w:eastAsia="仿宋_GB2312" w:cs="Times New Roman"/>
          <w:b w:val="0"/>
          <w:bCs w:val="0"/>
          <w:color w:val="auto"/>
          <w:sz w:val="32"/>
          <w:szCs w:val="32"/>
          <w:lang w:val="en-US" w:eastAsia="zh-CN"/>
        </w:rPr>
        <w:t>20</w:t>
      </w:r>
      <w:r>
        <w:rPr>
          <w:rFonts w:hint="eastAsia" w:ascii="仿宋_GB2312" w:hAnsi="Times New Roman" w:eastAsia="仿宋_GB2312" w:cs="Times New Roman"/>
          <w:b w:val="0"/>
          <w:bCs w:val="0"/>
          <w:color w:val="auto"/>
          <w:sz w:val="32"/>
          <w:szCs w:val="32"/>
        </w:rPr>
        <w:t>年持平，无增减变化；公务用车购置费与2020年持平，无增减变化；公务用车运行维护费与20</w:t>
      </w:r>
      <w:r>
        <w:rPr>
          <w:rFonts w:hint="eastAsia" w:ascii="仿宋_GB2312" w:hAnsi="Times New Roman" w:eastAsia="仿宋_GB2312" w:cs="Times New Roman"/>
          <w:b w:val="0"/>
          <w:bCs w:val="0"/>
          <w:color w:val="auto"/>
          <w:sz w:val="32"/>
          <w:szCs w:val="32"/>
          <w:lang w:val="en-US" w:eastAsia="zh-CN"/>
        </w:rPr>
        <w:t>20</w:t>
      </w:r>
      <w:r>
        <w:rPr>
          <w:rFonts w:hint="eastAsia" w:ascii="仿宋_GB2312" w:hAnsi="Times New Roman" w:eastAsia="仿宋_GB2312" w:cs="Times New Roman"/>
          <w:b w:val="0"/>
          <w:bCs w:val="0"/>
          <w:color w:val="auto"/>
          <w:sz w:val="32"/>
          <w:szCs w:val="32"/>
        </w:rPr>
        <w:t>年持平，无增减变化；公务接待费减少</w:t>
      </w:r>
      <w:r>
        <w:rPr>
          <w:rFonts w:hint="eastAsia" w:ascii="仿宋_GB2312" w:hAnsi="Times New Roman" w:eastAsia="仿宋_GB2312" w:cs="Times New Roman"/>
          <w:b w:val="0"/>
          <w:bCs w:val="0"/>
          <w:color w:val="auto"/>
          <w:sz w:val="32"/>
          <w:szCs w:val="32"/>
          <w:lang w:val="en-US" w:eastAsia="zh-CN"/>
        </w:rPr>
        <w:t>3.15</w:t>
      </w:r>
      <w:r>
        <w:rPr>
          <w:rFonts w:hint="eastAsia" w:ascii="仿宋_GB2312" w:hAnsi="Times New Roman" w:eastAsia="仿宋_GB2312" w:cs="Times New Roman"/>
          <w:b w:val="0"/>
          <w:bCs w:val="0"/>
          <w:color w:val="auto"/>
          <w:sz w:val="32"/>
          <w:szCs w:val="32"/>
        </w:rPr>
        <w:t>万元，</w:t>
      </w:r>
      <w:r>
        <w:rPr>
          <w:rFonts w:ascii="仿宋_GB2312" w:hAnsi="Times New Roman" w:eastAsia="仿宋_GB2312" w:cs="Times New Roman"/>
          <w:b w:val="0"/>
          <w:bCs w:val="0"/>
          <w:color w:val="auto"/>
          <w:sz w:val="32"/>
          <w:szCs w:val="32"/>
        </w:rPr>
        <w:t>减少原因为</w:t>
      </w:r>
      <w:r>
        <w:rPr>
          <w:rFonts w:hint="eastAsia" w:ascii="仿宋_GB2312" w:hAnsi="Times New Roman" w:eastAsia="仿宋_GB2312" w:cs="Times New Roman"/>
          <w:b w:val="0"/>
          <w:bCs w:val="0"/>
          <w:color w:val="auto"/>
          <w:sz w:val="32"/>
          <w:szCs w:val="32"/>
          <w:lang w:val="en-US" w:eastAsia="zh-CN"/>
        </w:rPr>
        <w:t>节省开支。</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b/>
          <w:color w:val="FF0000"/>
          <w:sz w:val="32"/>
          <w:szCs w:val="32"/>
        </w:rPr>
      </w:pPr>
      <w:r>
        <w:rPr>
          <w:rFonts w:ascii="仿宋_GB2312" w:hAnsi="Times New Roman" w:eastAsia="仿宋_GB2312" w:cs="Times New Roman"/>
          <w:sz w:val="32"/>
          <w:szCs w:val="32"/>
        </w:rPr>
        <w:t>依据市委、市政府的决策部署以及全市经济及交通发展需求，加快交通基础设施建设，优化路网、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养护资金补贴15个乡镇；国省干线日常养护5条，养护里程总计99.567公里；补贴符合条件的柴油货1490辆；养护工程合格率100%；营运班次达到384次</w:t>
      </w:r>
      <w:r>
        <w:rPr>
          <w:rFonts w:hint="eastAsia" w:ascii="仿宋_GB2312" w:hAnsi="Times New Roman" w:eastAsia="仿宋_GB2312" w:cs="Times New Roman"/>
          <w:sz w:val="32"/>
          <w:szCs w:val="32"/>
          <w:lang w:val="en-US" w:eastAsia="zh-CN"/>
        </w:rPr>
        <w:t>/日</w:t>
      </w:r>
      <w:r>
        <w:rPr>
          <w:rFonts w:ascii="仿宋_GB2312" w:hAnsi="Times New Roman" w:eastAsia="仿宋_GB2312" w:cs="Times New Roman"/>
          <w:sz w:val="32"/>
          <w:szCs w:val="32"/>
        </w:rPr>
        <w:t>；及时足额发放补贴率100%。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1、</w:t>
      </w:r>
      <w:r>
        <w:rPr>
          <w:rFonts w:ascii="仿宋_GB2312" w:hAnsi="Times New Roman" w:eastAsia="仿宋_GB2312" w:cs="Times New Roman"/>
          <w:b w:val="0"/>
          <w:bCs/>
          <w:color w:val="auto"/>
          <w:sz w:val="32"/>
          <w:szCs w:val="32"/>
        </w:rPr>
        <w:t>推进路域环境整治</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绩效目标：制定公路养护工程计划，开展公路养护工程；完善日常养护，以保障及时发现、及时消除道路安全隐患；对超载超限车辆进行及时检查，及时卸载，推动全市治超工作有效开展。</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指标：“养护资金补贴15个乡镇”、“国省干线日常养护99.567公里以上”、“养护小修路面维修平米数达到11000㎡”、“农村公路养护工程合格率100%”、“维护及时率85%”、“超限超载车辆卸载率100%”、“超限超载率2.5%”。</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2、</w:t>
      </w:r>
      <w:r>
        <w:rPr>
          <w:rFonts w:ascii="仿宋_GB2312" w:hAnsi="Times New Roman" w:eastAsia="仿宋_GB2312" w:cs="Times New Roman"/>
          <w:b w:val="0"/>
          <w:bCs/>
          <w:color w:val="auto"/>
          <w:sz w:val="32"/>
          <w:szCs w:val="32"/>
        </w:rPr>
        <w:t>规范运输市场管理</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绩效目标：通过推进农村客运公交化改造，加强出租汽车管理，全力构建城市公交、农村客运、出租汽车三位一体、协调联动、畅通快捷、经济方便的客运网络。</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指标：“达到运营班次384次”、“公交站点数量85处”、“补贴符合条件的柴油货1490辆”、“提供市民出行便利，缓解交通压力”、“促进地区节能减排”、“持续改善空气质量”、“社会服务能力明显提升”。</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3、</w:t>
      </w:r>
      <w:r>
        <w:rPr>
          <w:rFonts w:ascii="仿宋_GB2312" w:hAnsi="Times New Roman" w:eastAsia="仿宋_GB2312" w:cs="Times New Roman"/>
          <w:b w:val="0"/>
          <w:bCs/>
          <w:color w:val="auto"/>
          <w:sz w:val="32"/>
          <w:szCs w:val="32"/>
        </w:rPr>
        <w:t>妥善解决生活困难</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目标：截至2020年底京原铁路“三线”建设民兵及遗属353人，按月发放生活补贴，妥善解决京原铁路“三线”建设民兵生活困难问题相关问题；每月为原工役制人员69人、遗属32人发放补贴，每月发放补贴61600元，按月发放，妥善解决国防公路建设原工役制人员生活困难相关问题。。</w:t>
      </w:r>
    </w:p>
    <w:p>
      <w:pPr>
        <w:ind w:firstLine="640" w:firstLineChars="200"/>
        <w:rPr>
          <w:rFonts w:ascii="仿宋_GB2312" w:hAnsi="Times New Roman" w:eastAsia="仿宋_GB2312" w:cs="Times New Roman"/>
          <w:b w:val="0"/>
          <w:bCs/>
          <w:color w:val="auto"/>
          <w:sz w:val="32"/>
          <w:szCs w:val="32"/>
        </w:rPr>
      </w:pPr>
      <w:r>
        <w:rPr>
          <w:rFonts w:ascii="仿宋_GB2312" w:hAnsi="Times New Roman" w:eastAsia="仿宋_GB2312" w:cs="Times New Roman"/>
          <w:b w:val="0"/>
          <w:bCs/>
          <w:color w:val="auto"/>
          <w:sz w:val="32"/>
          <w:szCs w:val="32"/>
        </w:rPr>
        <w:t>绩效指标：“健在京原铁路“三线”建设民兵及遗属人数353人”、“原工役制工人人数69人”、“原工役制工人遗属补助人数32”、“足额发放补贴”、“原工役制工人补贴覆盖率达到100%”、“京原铁路“三线”建设民兵补贴覆盖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1、</w:t>
      </w:r>
      <w:r>
        <w:rPr>
          <w:rFonts w:hint="eastAsia" w:ascii="仿宋_GB2312" w:hAnsi="Times New Roman" w:eastAsia="仿宋_GB2312" w:cs="Times New Roman"/>
          <w:b w:val="0"/>
          <w:bCs/>
          <w:color w:val="auto"/>
          <w:sz w:val="32"/>
          <w:szCs w:val="32"/>
        </w:rPr>
        <w:t>完善制度建设。制定完善预算绩效管理制度、资金管理办法、工作保障制度等，为全年预算绩效目标的实现奠定制度基础。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2、</w:t>
      </w:r>
      <w:r>
        <w:rPr>
          <w:rFonts w:hint="eastAsia" w:ascii="仿宋_GB2312" w:hAnsi="Times New Roman" w:eastAsia="仿宋_GB2312" w:cs="Times New Roman"/>
          <w:b w:val="0"/>
          <w:bCs/>
          <w:color w:val="auto"/>
          <w:sz w:val="32"/>
          <w:szCs w:val="32"/>
        </w:rPr>
        <w:t>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3、</w:t>
      </w:r>
      <w:r>
        <w:rPr>
          <w:rFonts w:hint="eastAsia" w:ascii="仿宋_GB2312" w:hAnsi="Times New Roman" w:eastAsia="仿宋_GB2312" w:cs="Times New Roman"/>
          <w:b w:val="0"/>
          <w:bCs/>
          <w:color w:val="auto"/>
          <w:sz w:val="32"/>
          <w:szCs w:val="32"/>
        </w:rPr>
        <w:t>全力做好交通保障重点工作。完善基础设施，在高铁站附近筹建等级客运站、简易客运站、出租车港湾式候车场，实现铁路、公路客运的“无缝衔接”。优先发展城市公交，将市区公交线路延伸至高铁站，逐步实现市区20公里范围内公交全覆盖；加快农村客运公交化改造，加快城乡客运一体化步伐，推进城市公交、农村客运、出租汽车三位一体的城乡客运网络更加完善。积极搭建大型物流信息平台，实施货运“一票到底”，发展多式联运、甩挂运输等先进的运输方式，提高运输效率，服务企业发展。</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4、</w:t>
      </w:r>
      <w:r>
        <w:rPr>
          <w:rFonts w:hint="eastAsia" w:ascii="仿宋_GB2312" w:hAnsi="Times New Roman" w:eastAsia="仿宋_GB2312" w:cs="Times New Roman"/>
          <w:b w:val="0"/>
          <w:bCs/>
          <w:color w:val="auto"/>
          <w:sz w:val="32"/>
          <w:szCs w:val="32"/>
        </w:rPr>
        <w:t>加强资金支出管理。围绕年度重点工作，进一步优化支出结构，编细编实预算、按规定及时下达资金，确保支出进度达标。</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5、</w:t>
      </w:r>
      <w:r>
        <w:rPr>
          <w:rFonts w:hint="eastAsia" w:ascii="仿宋_GB2312" w:hAnsi="Times New Roman" w:eastAsia="仿宋_GB2312" w:cs="Times New Roman"/>
          <w:b w:val="0"/>
          <w:bCs/>
          <w:color w:val="auto"/>
          <w:sz w:val="32"/>
          <w:szCs w:val="32"/>
        </w:rPr>
        <w:t>加强绩效运行监控。按照要求开展绩效运行监控，发现问题及时采取措施，确保绩效目标如期保质实现。</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6、</w:t>
      </w:r>
      <w:r>
        <w:rPr>
          <w:rFonts w:hint="eastAsia" w:ascii="仿宋_GB2312" w:hAnsi="Times New Roman" w:eastAsia="仿宋_GB2312" w:cs="Times New Roman"/>
          <w:b w:val="0"/>
          <w:bCs/>
          <w:color w:val="auto"/>
          <w:sz w:val="32"/>
          <w:szCs w:val="32"/>
        </w:rPr>
        <w:t>积极做好绩效自评。按财政要求开展上年度部门预算绩效自评和重点评价工作，对评价中发现的问题及时整改，调整优化支出结构，提高财政资金使用效益。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7、</w:t>
      </w:r>
      <w:r>
        <w:rPr>
          <w:rFonts w:hint="eastAsia" w:ascii="仿宋_GB2312" w:hAnsi="Times New Roman" w:eastAsia="仿宋_GB2312" w:cs="Times New Roman"/>
          <w:b w:val="0"/>
          <w:bCs/>
          <w:color w:val="auto"/>
          <w:sz w:val="32"/>
          <w:szCs w:val="32"/>
        </w:rPr>
        <w:t>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8、</w:t>
      </w:r>
      <w:r>
        <w:rPr>
          <w:rFonts w:hint="eastAsia" w:ascii="仿宋_GB2312" w:hAnsi="Times New Roman" w:eastAsia="仿宋_GB2312" w:cs="Times New Roman"/>
          <w:b w:val="0"/>
          <w:bCs/>
          <w:color w:val="auto"/>
          <w:sz w:val="32"/>
          <w:szCs w:val="32"/>
        </w:rPr>
        <w:t>加强内部监督。加强内部监督制度建设，对绩效运行情况、重大支出等事项的决策和执行进行督导，对会计资料进行内部审计，配合做好审计、财政监督等外部监督，确保财政资金安全有效。</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9、</w:t>
      </w:r>
      <w:r>
        <w:rPr>
          <w:rFonts w:hint="eastAsia" w:ascii="仿宋_GB2312" w:hAnsi="Times New Roman" w:eastAsia="仿宋_GB2312" w:cs="Times New Roman"/>
          <w:b w:val="0"/>
          <w:bCs/>
          <w:color w:val="auto"/>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numPr>
          <w:ilvl w:val="0"/>
          <w:numId w:val="0"/>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（四）部门整体支出绩效指标</w:t>
      </w:r>
    </w:p>
    <w:tbl>
      <w:tblPr>
        <w:tblStyle w:val="8"/>
        <w:tblW w:w="11523" w:type="dxa"/>
        <w:jc w:val="center"/>
        <w:tblInd w:w="-2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33"/>
        <w:gridCol w:w="1305"/>
        <w:gridCol w:w="1925"/>
        <w:gridCol w:w="925"/>
        <w:gridCol w:w="2730"/>
        <w:gridCol w:w="543"/>
        <w:gridCol w:w="859"/>
        <w:gridCol w:w="76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12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9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7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6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1233" w:type="dxa"/>
            <w:vMerge w:val="continue"/>
            <w:tcBorders>
              <w:tl2br w:val="nil"/>
              <w:tr2bl w:val="nil"/>
            </w:tcBorders>
            <w:vAlign w:val="center"/>
          </w:tcPr>
          <w:p/>
        </w:tc>
        <w:tc>
          <w:tcPr>
            <w:tcW w:w="1305" w:type="dxa"/>
            <w:vMerge w:val="continue"/>
            <w:tcBorders>
              <w:tl2br w:val="nil"/>
              <w:tr2bl w:val="nil"/>
            </w:tcBorders>
            <w:vAlign w:val="center"/>
          </w:tcPr>
          <w:p/>
        </w:tc>
        <w:tc>
          <w:tcPr>
            <w:tcW w:w="1925" w:type="dxa"/>
            <w:vMerge w:val="continue"/>
            <w:tcBorders>
              <w:tl2br w:val="nil"/>
              <w:tr2bl w:val="nil"/>
            </w:tcBorders>
            <w:vAlign w:val="center"/>
          </w:tcPr>
          <w:p/>
        </w:tc>
        <w:tc>
          <w:tcPr>
            <w:tcW w:w="925" w:type="dxa"/>
            <w:vMerge w:val="continue"/>
            <w:tcBorders>
              <w:tl2br w:val="nil"/>
              <w:tr2bl w:val="nil"/>
            </w:tcBorders>
            <w:vAlign w:val="center"/>
          </w:tcPr>
          <w:p/>
        </w:tc>
        <w:tc>
          <w:tcPr>
            <w:tcW w:w="2730"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5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3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23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养护资金补贴乡镇个数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养护资金补贴乡镇个数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15.00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个</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养护小修路面维修平米数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实际完成工程量占计划完成工程的比率。以路面挖补面积数量和灌油缝延米数为依据。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11000.00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m2</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日常养护里程数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霸州市域内国省干线公路是否全段落覆盖，包括桥涵及附属设施。</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99.57</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公里</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治超站点通车检测率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实际检测超限超载车辆数占全部通车数量的比率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超限超载率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超限超载车辆占检测的车辆总数比率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2.50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符合补贴条件的柴油货车车辆</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实际符合补贴条件的柴油货车的合格率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1490.00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辆</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达到运营班次</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达到运营班次</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384.00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历史标准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公交站点数量</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公交站点数量</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85.00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处</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历史标准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京原铁路“三线”建设民兵补助人数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健在京原铁路“三线”建设民兵及遗属人数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353.00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原工役制工人人数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健在的原工役制人员人数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69.00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原工役制工人遗属补助人数</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过世的原工役制工人其健在的配偶人数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32.00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超限超载车辆卸载率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超限超载车辆卸载至法律规定的转载限值吨位率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工程完成合格率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工程质量是否合格</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及时足额率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3</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足额发放补贴</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按期完成淘汰工作</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按期完成淘汰工作</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月份</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日常巡查维修及时率</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有记录的巡查维修到场次数占规定巡查维修到场次数的比率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及时支付资金</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及时完成资金支付</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按计划完成支付</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成本控制标准</w:t>
            </w:r>
          </w:p>
        </w:tc>
        <w:tc>
          <w:tcPr>
            <w:tcW w:w="925"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控制成本在预算以内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控制在预算以内</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营造安全有序的铁路沿线环境</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保障人民群众的生命财产安全</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健全</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经济效益指标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对经济发展的促进作用</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对经济发展的促进作用</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有所促进</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对市民出行的便利性</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规划后的公交线路合理，方便市民出行</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有所提升</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被补贴人员覆盖率</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原工役制工人补贴覆盖率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被补贴人员覆盖率</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京原铁路“三线”建设民兵补贴覆盖率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生态效益指标</w:t>
            </w:r>
          </w:p>
        </w:tc>
        <w:tc>
          <w:tcPr>
            <w:tcW w:w="19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节能减排效果</w:t>
            </w:r>
          </w:p>
        </w:tc>
        <w:tc>
          <w:tcPr>
            <w:tcW w:w="925"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6</w:t>
            </w:r>
          </w:p>
        </w:tc>
        <w:tc>
          <w:tcPr>
            <w:tcW w:w="27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通过合理规划公交线路及站点，增加市民使用公共交通出行次数，促进节能减排</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有所增强</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生态效益指标</w:t>
            </w:r>
          </w:p>
        </w:tc>
        <w:tc>
          <w:tcPr>
            <w:tcW w:w="1925"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全市空气质量</w:t>
            </w:r>
          </w:p>
        </w:tc>
        <w:tc>
          <w:tcPr>
            <w:tcW w:w="925"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5</w:t>
            </w:r>
          </w:p>
        </w:tc>
        <w:tc>
          <w:tcPr>
            <w:tcW w:w="2730"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持续改善空气质量</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859" w:type="dxa"/>
            <w:tcBorders>
              <w:tl2br w:val="nil"/>
              <w:tr2bl w:val="nil"/>
            </w:tcBorders>
            <w:vAlign w:val="center"/>
          </w:tcPr>
          <w:p>
            <w:pPr>
              <w:jc w:val="right"/>
              <w:rPr>
                <w:rFonts w:ascii="方正书宋_GBK" w:eastAsia="方正书宋_GBK"/>
              </w:rPr>
            </w:pP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有所改善</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233" w:type="dxa"/>
            <w:vMerge w:val="continue"/>
            <w:tcBorders>
              <w:tl2br w:val="nil"/>
              <w:tr2bl w:val="nil"/>
            </w:tcBorders>
            <w:vAlign w:val="center"/>
          </w:tcPr>
          <w:p/>
        </w:tc>
        <w:tc>
          <w:tcPr>
            <w:tcW w:w="130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1925"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受益群体满意度</w:t>
            </w:r>
          </w:p>
        </w:tc>
        <w:tc>
          <w:tcPr>
            <w:tcW w:w="925"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2730"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受益群体调查中，满意和较满意的人数占全部调查人数的比率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5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76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3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3"/>
        <w:rPr>
          <w:rFonts w:ascii="Times New Roman" w:hAnsi="宋体"/>
          <w:b/>
          <w:sz w:val="28"/>
        </w:rPr>
      </w:pPr>
      <w:r>
        <w:rPr>
          <w:rFonts w:hint="eastAsia" w:ascii="方正仿宋_GBK" w:eastAsia="方正仿宋_GBK"/>
          <w:b/>
          <w:sz w:val="28"/>
        </w:rPr>
        <w:t>1.关于提前下达2021年国三及以下排放标准营运中重型柴油货车淘汰奖补资金的通知(冀财建[2020]290号)绩效目标表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1、关于提前下达2021年国三及以下排放标准营运中重型柴油货车淘汰奖补资金的通知(冀财建[2020]290号)绩效目标表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根据廊坊国三专班工作布置，依据《廊坊市国三及以下排放标准营运柴油货车淘汰工作实施方案》、《关于开展2020年国三及以下排放标准营运柴油货车淘汰阶段总结有关工作的通知》对符合国三及以下排放标准营运柴油货车淘汰车辆进行补贴，加快推进全市国三及以下排放标准营运柴油货车淘汰，持续改善我市空气质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补贴柴油货车数量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实际符合补贴条件的柴油货车的数量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1490辆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实际发放补贴的柴油货车数量占符合条件应发放的柴油货车总数量的比率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补贴车辆合格率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给予补贴的淘汰车辆符合国家、省淘汰范围要求的合格率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完成淘汰工作时间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按期完成淘汰工作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成本控制在预算金额内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≤300.5万元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人民群众健康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改善空气质量保障人民群众健康</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全市空气质量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持续改善空气质量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受补贴人员满意度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补贴满意和较满意人数占总调查人数的比例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2.农村公路养护补助资金绩效目标表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2、农村公路养护补助资金绩效目标表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按照《霸州市深化农村公路管理养护体制改革实施方案》的要求，组织并实施2021年农村公路养护工程，对我市破损农村公路进行养护维修，及时完善道路沿线安全设施，确保道路的安全畅通；逐步提升农村公路路况水平，确保全市优良中等路占比不低于85%。</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维修道路路面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对破损严重道路开展维修</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≥30000平米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合格以上项目个数占总项目个数比例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工程完成及时情况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小于预算值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≤246万元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农村优良中等路占比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优良中等路所占比例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抽取部分村街开展群众满意度调查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3.全市国三及以下排放标准营运柴油货车提前淘汰补贴资金★绩效目标表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3、全市国三及以下排放标准营运柴油货车提前淘汰补贴资金★绩效目标表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1.我市补贴国三及以下排放标准营运柴油货车共1490辆，加快推进全市国三及以下排放标准营运柴油货车淘汰，持续改善我市空气质量。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补贴车辆数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实际补贴柴油货车数量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1490辆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实际发放补贴的金额占计划补贴金额的比率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补贴资金发放时间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资金实际的支付时间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成本控制于预算金额以下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≤391.27万元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人民群众健康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人民群众健康是否有所保障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全市空气质量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持续改善我市空气质量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受补贴人员满意度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对补贴满意和较满意人数占调查人数的比例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4.关于提前下达2021年农村公路建设养护发展专项资金的通知(冀财建[2020]288号)绩效目标表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4、关于提前下达2021年农村公路建设养护发展专项资金的通知(冀财建[2020]288号)绩效目标表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noWrap w:val="0"/>
            <w:vAlign w:val="center"/>
          </w:tcPr>
          <w:p>
            <w:pPr>
              <w:spacing w:line="300" w:lineRule="exact"/>
              <w:jc w:val="left"/>
              <w:rPr>
                <w:rFonts w:ascii="方正书宋_GBK" w:eastAsia="方正书宋_GBK"/>
              </w:rPr>
            </w:pPr>
            <w:r>
              <w:rPr>
                <w:rFonts w:hint="eastAsia" w:ascii="方正书宋_GBK" w:eastAsia="方正书宋_GBK"/>
              </w:rPr>
              <w:t>1.根据道路实际情况，实施2021年农村公路安防工程，对采留线、中亭路等道路急弯陡坡、临水临崖路段增设波形防撞护栏，完善采留线、中亭路等农村公路沿线安全设施，有效保障车辆行人的正常安全出行。</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安装波形护栏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安装波形防撞护栏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≥8000米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合格以上项目个数占总项目个数比例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工程完成及时情况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小于预算值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≤156万元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农村公路沿线安全设施</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农村公路沿线安全设施</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抽取部分村街开展群众满意度调查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5.新河路建设工程传输局国防光缆迁改费用绩效目标表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5、新河路建设工程传输局国防光缆迁改费用绩效目标表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1.因传输局国防光缆位于新河路建设工程路基内，必须对国防光缆进行迁改后，新河路路基才可继续施工；已完成传输局国防光缆迁改10处；后期已完成新河路建设工程</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改迁国防光缆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迁改国防光缆10处</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10处</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项目实际质量占年度计划质量的比例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项目完成及时率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≤36.41万元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保障新河路建设工程的顺利建设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项目对于推进新河路建设工程的顺利建设的效益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周边群众或工程施工方满意度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周边群众或工程施工方满意度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6.农村公路日常养护资金绩效目标表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6、农村公路日常养护资金绩效目标表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按照《霸州市深化农村公路管理养护体制改革实施方案》的要求，组织各乡镇做好2021年农村公路的日常养护管理、绿化美化及沿线设施的日常维护工作，确保道路的整洁、安全、畅通；逐步提升农村公路路况水平，确保全市优良中等路占比不低于85%</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养护资金补贴乡镇个数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养护资金补贴乡镇个数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合格以上项目个数占总项目个数比例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日常巡查维修及时率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有记录的巡查维修到场次数占规定到场次数的比例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小于预算值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≤400万元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农村公路优良中等路占比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优良中等路所占比例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抽取部分村街开展群众满意度调查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7.治超专项经费★绩效目标表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7、治超专项经费★绩效目标表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1.提高公路等级水平，缓解繁忙路段交通压力。</w:t>
            </w:r>
          </w:p>
          <w:p>
            <w:pPr>
              <w:spacing w:line="300" w:lineRule="exact"/>
              <w:jc w:val="left"/>
              <w:rPr>
                <w:rFonts w:hint="eastAsia" w:ascii="方正书宋_GBK" w:eastAsia="方正书宋_GBK"/>
              </w:rPr>
            </w:pPr>
            <w:r>
              <w:rPr>
                <w:rFonts w:hint="eastAsia" w:ascii="方正书宋_GBK" w:eastAsia="方正书宋_GBK"/>
              </w:rPr>
              <w:t>2.维护路产路权，保障通行能力，提高服务水平，确保通车检测率在95%以上。</w:t>
            </w:r>
          </w:p>
          <w:p>
            <w:pPr>
              <w:spacing w:line="300" w:lineRule="exact"/>
              <w:jc w:val="left"/>
              <w:rPr>
                <w:rFonts w:ascii="方正书宋_GBK" w:eastAsia="方正书宋_GBK"/>
              </w:rPr>
            </w:pPr>
            <w:r>
              <w:rPr>
                <w:rFonts w:hint="eastAsia" w:ascii="方正书宋_GBK" w:eastAsia="方正书宋_GBK"/>
              </w:rPr>
              <w:t>3.通过治理超限运输，使超限超载率控制在2.5%以下.</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场地租赁费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治超场地租赁面积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≥10065平方米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治超站点通车检测率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实际检测超限超载车辆数占全部通车数量的比率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资金支付时效</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≤12月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控制成本在预算以内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超限超载车辆占检测的车辆总数比率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8.京原铁路“三线”建设民兵生活补贴绩效目标表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8、京原铁路\“三线\”建设民兵生活补贴绩效目标表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1.截至2020年底京原铁路“三线”建设民兵及遗属353人，按月发放生活补贴，妥善解决京原铁路“三线”建设民兵生活困难问题相关问题。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京原铁路三线建设民兵补助人数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健在京原铁路“三线”建设民兵及遗属人数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353人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及时足额率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足额发放补贴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及时发放补贴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每月按时发放生活补贴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生活补贴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150元/人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医疗补贴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被补贴人员覆盖率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京原铁路“三线”建设民兵补贴覆盖率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三线建设民兵及遗属生活和医疗</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京原铁路“三线”建设民兵及遗属生活水平</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得到保障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接受补贴的京原铁路“三线”建设民兵及其遗属对补贴的满意程度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9.省道S222廊坊至大城公路（原廊泊公路）堂二里至胜芳绕城段改建工程500KV吴霸线迁改资金绩效目标表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9、省道S222廊坊至大城公路（原廊泊公路）堂二里至胜芳绕城段改建工程500KV吴霸线迁改资金绩效目标表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省道S222廊坊至大城公路（原廊泊公路）堂二里至胜芳绕城段改建工程为廊坊市、霸州市重点工程建设项目，全长22.7公里，项目业主为廊坊市交通运输局，霸州市人民政府负责工程拆迁占补偿工作及项目内的三线迁改工作，该资金用于500KV吴霸线迁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工程建设公里数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实际工程建设公里数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22.7公里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迁改资金拨付率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迁改资金实际拨付占计划拨付金额的比率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资金支出时效</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≤1900万元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对周边居民生活水平和质量的影响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提高所在地区居民生活水平和生活质量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受益群众满意度调查</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10.国省干线公路日常养护经费绩效目标表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10、国省干线公路日常养护经费绩效目标表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通过对霸州市域内5条普通国省干线公路共计99.567公里的日常养护，实现普通干线公路路面整洁、行车舒适安全，确保沿线交通设施完好无损坏。做好绿化管护，及时补植，不出现缺株死株。灾后及时处置，确保行车安全舒畅。社会公众满意度达到90%以上。</w:t>
            </w:r>
          </w:p>
          <w:p>
            <w:pPr>
              <w:spacing w:line="300" w:lineRule="exact"/>
              <w:jc w:val="left"/>
              <w:rPr>
                <w:rFonts w:ascii="方正书宋_GBK" w:eastAsia="方正书宋_GBK"/>
              </w:rPr>
            </w:pPr>
            <w:r>
              <w:rPr>
                <w:rFonts w:hint="eastAsia" w:ascii="方正书宋_GBK" w:eastAsia="方正书宋_GBK"/>
              </w:rPr>
              <w:t>2.通过对普通干线公路定点巡查、定时巡查、重点部位加强巡查，实现及时发现问题及时处理的效果；通过路面小修作业，确保路面桥面坑槽得到及时处理；达到标志标牌、护栏等安全设施齐全完好，从而实现行车安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日常养护里程数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霸州市域内国省干线公路是否全段落覆盖，包括桥涵及附属设施。</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≥99.57公里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养护小修路面维修平米数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实际完成工程量占计划完成工程的比率。以路面挖补面积数量和灌油缝延米数为依据。</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≥11000m2</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桥梁维修及检测覆盖率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霸州市域内国省干线公路段落上的桥梁是否养护维修到位，每年度是否100%进行技术检测。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应急处置抢险率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遇暴雨、大风及降雪等天气出现险情次数与实际及时处置次数的比率。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养护单项工程验收合格部分占总完成量的比率。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日常养护巡查频次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有记录的养护巡查每年不少于313次，每周不少于6次。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≥313次/年</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项目预算总控制数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项目支出不超过预算控制数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≤614万元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公路行车安全度、便捷度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通过对司乘人员进行回访统计，第三方评估等方式评价行车安全度、便捷度是否得到提高。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绿化覆盖率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中央绿化带及路肩以外路界内全绿化。</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陆域环境</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 xml:space="preserve">通过对管养路段绿化及安全附属设施的持续改善，提高我市境内国省干线公路的整体水平，以创建文明城市为契机，打造精品廊到。 </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社会公众对该项目实施后的满意程度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司乘人员满意度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司机及乘客对该项目实施后的满意程度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11.交通局工役制工人生活补贴经费绩效目标表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11、交通局工役制工人生活补贴经费绩效目标表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1.每月为原工役制人员69人、遗属32人发放补贴，每月发放补贴61600元，按月发放，妥善解决国防公路建设原工役制人员生活困难相关问题。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原工役制工人人数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健在的原工役制人员人数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69人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原工役制工人遗属补助人数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过世的原工役制工人其健在的配偶人数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32人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及时足额率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足额发放补贴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及时发放补贴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每月按时发放补贴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生活补贴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600元/人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预算成本控制数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≤82万元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医疗补贴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工役制人员及其遗属生活和医疗</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原工役制人员及其遗属的基本生活和医疗需求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得到保障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被补贴人员覆盖率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原工役制工人补贴覆盖率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接受补贴的原工役制工人及其遗属对补贴的满意程度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12.关于提前下达2021年省级国三及以下排放标准营运中重型柴油货车淘汰奖补资金的通知(廊财建[2020]136号)绩效目标表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12、关于提前下达2021年省级国三及以下排放标准营运中重型柴油货车淘汰奖补资金的通知(廊财建[2020]136号)绩效目标表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根据廊坊国三专班工作布置，依据《廊坊市国三及以下排放标准营运柴油货车淘汰工作实施方案》、《关于开展2020年国三及以下排放标准营运柴油货车淘汰阶段总结有关工作的通知》，对符合国三及以下排放标准营运柴油货车淘汰车辆进行补贴，加快推进全市国三及以下排放标准营运柴油货车淘汰，持续改善我市空气质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补贴柴油货车车辆数量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实际符合补贴条件的柴油货车数量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1490辆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实际发放补贴的柴油货车数量占符合条件应发放的柴油货车总数量的比率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完成淘汰工作时间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按期完成淘汰工作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成本控制在预算金额内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≤5.13万元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改善空气质量保障人民群众健康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改善空气质量保障人民群众健康</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全市空气质量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持续改善空气质量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受补贴人员满意度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补贴满意和较满意人数占总调查人数的比例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13.农村公路养护配套资金★绩效目标表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13、农村公路养护配套资金★绩效目标表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按照《霸州市深化农村公路管理养护体制改革实施方案》的要求，组织并实施2020年农村公路养护工程，及时完善道路沿线安全设施，确保道路的安全畅通；逐步提升农村公路路况水平，确保全市优良中等路占比不低于85%</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维修道路路面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对破损严重道路开展维修</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≥30000平米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合格以上项目个数占总项目个数比例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工程完成及时情况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小于预算值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≤200万元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农村优良中等路占比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优良中等路所占比例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抽取部分村街开展群众满意度调查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14.工程审计费绩效目标表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14、工程审计费绩效目标表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1.拨付6个工程的审计费用，促进建设项目工程质量，保证工程建设资金的合理规范使用。保证公路完全畅通，达到社会公众满意。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审计的工程数量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实际审计的工程项目数量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成果验收通过率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成果验收通过率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审计完成的及时性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审计结果出具时间是否及时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项目资金控制在预算以内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≤7.07万元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审计结果的合理性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审核过程中对工程量等指标的认定是否合理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合理</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项目委托方或成果应用单位满意度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调查中满意和较满意的项目委托方或成果应用单位占调查总数的比率(%)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15.普速铁路两侧危树砍伐资金绩效目标表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15、普速铁路两侧危树砍伐资金绩效目标表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1.按照廊坊市政府铁路沿线环境安全专项整治行动要求，对铁路两侧控制区范围内的共计约9908棵危树进行整治。完成普速铁路两侧危树的整治工作，保障铁路运输的环境安全。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普速铁路两侧管控范围内危树数量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普速铁路两侧管控范围内危树情况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9908棵</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预期整治目标达标率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符合铁路沿线环境安全隐患整治要求</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隐患整治及时性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危树砍伐及时性</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危树砍伐补偿费用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按上年度补偿标准和危树总量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≤148.62万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公民财产安全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及时消除道路安全隐患，保障公民财产安全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公民安全出行</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及时消除铁路安全隐患，促进公民安全出行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营造安全有序的铁路沿线环境</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保障人民群众的生命财产安全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健全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铁路沿线居民满意度</w:t>
            </w:r>
          </w:p>
          <w:p>
            <w:pPr>
              <w:spacing w:line="300" w:lineRule="exact"/>
              <w:jc w:val="left"/>
              <w:rPr>
                <w:rFonts w:hint="eastAsia" w:ascii="方正书宋_GBK" w:eastAsia="方正书宋_GBK"/>
              </w:rPr>
            </w:pP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调查中满意和较满意的铁路沿线居民占调查总人数的比率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16.防疫工作经费绩效目标表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16、防疫工作经费绩效目标表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1.每日每日安排70余人次参与此项检疫工作，给予一线防疫人员配置部分防寒物资，及提供生活、安全保障，确保检疫工作快速有序开展。</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防疫人员人次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每日参与检疫工作的人次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≥70人次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实际支付资金数占计划资金的比率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资金支付的时间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检疫工作开展情况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对检疫工作开展是否有促进作用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有所促进</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防疫工作人员或服务对象满意度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17.公交补贴绩效目标表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17、公交补贴绩效目标表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1.维持158辆公交车辆的基本运行，保障日均客运量6040人，保障市民的出行方便，达到群众满意。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补助公交车数量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实际补助公交车数量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158辆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实际发放补贴的金额占计划补贴金额的比率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补贴资金发放时间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资金实际的支付时间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成本控制于审计报告金额以下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≤3000万元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社会服务能力提升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每天客运量达到平均人次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≥6040每天人次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对公交满意和较满意人数占调查人数的比例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18.公交发展规划设计费★绩效目标表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18、公交发展规划设计费★绩效目标表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现有公交车数量158辆，目前运营次数可达到384班次，通过合理配置完善中心城区9条公交线路，在原有公交站亭85处、公交站牌72处的基础上改善、增加公交站点，为深入贯彻落实公交优先发展政策，推动落实城乡客运公交一体化，推进全市公交发展更加科学、更加规范，进一步改善交通运输环境，优化城市形象，方便群众出行，达到群众满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达到运营班次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达到运营班次</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≥384次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公交站点数量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公交站点数量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历史标准</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规划设计覆盖率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公交规划设计覆盖中心城区比率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完成资金拨付时间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完成支付资金的时间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≤19.95万元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对市民出行的便利性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规划后的公交线路合理，方便市民出行</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节能减排效果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通过合理规划公交线路及站点，增加市民使用公共交通出行次数，促进节能减排</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有所增强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群众对公交整体规划满意数量占被调查人数的比例。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19.土地拍卖、划转税款绩效目标表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19、土地拍卖、划转税款绩效目标表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1.该资金用于支付应缴纳的土地拍卖、划转相关税款，完善资产处置中的手续，促进盘活、变现闲置资产。</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实际按规定支付税款的金额占计划支付金额的比率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按期完成支付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按照规定期限完成支付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成本控制于预算金额以下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≤20004.5万元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对经济发展的促进作用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提升土地使用价值</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提升土地使用价值</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满意和较满意人数占调查人数的比例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20.九通一平工程款(工程旧欠)绩效目标表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20、九通一平工程款(工程旧欠)绩效目标表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1.对公路进行建设，此项目一共四个项目，共4段工程，保障健设工程质量，提高公路通车率。公众满意度达到90%以上。</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项目工程建设数量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项目工程建设数量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4个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工程项目合格率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施工项目中验收合格的工程占全部工程的比率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资金实际拨付时间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以结算审计结果为准</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公路通车率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施工后通车的工程项目占全部项目的比率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群众对公路工程满意数量占被调查人数的比例。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21.关于提前下达2021年中央成品油税费改革转移支付预算的通知(冀财建[2020]276号)(补助国省干线公路日常养护经费)绩效目标表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21、关于提前下达2021年中央成品油税费改革转移支付预算的通知(冀财建[2020]276号)(补助国省干线公路日常养护经费)绩效目标表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通过对霸州市域内5条普通国省干线公路共计99.567公里的日常养护，实现普通干线公路路面整洁、行车舒适安全，确保沿线交通设施完好无损坏。做好绿化管护，及时补植，不出现缺株死株。灾后及时处置，确保行车安全舒畅。社会公众满意度达到90%以上。</w:t>
            </w:r>
          </w:p>
          <w:p>
            <w:pPr>
              <w:spacing w:line="300" w:lineRule="exact"/>
              <w:jc w:val="left"/>
              <w:rPr>
                <w:rFonts w:ascii="方正书宋_GBK" w:eastAsia="方正书宋_GBK"/>
              </w:rPr>
            </w:pPr>
            <w:r>
              <w:rPr>
                <w:rFonts w:hint="eastAsia" w:ascii="方正书宋_GBK" w:eastAsia="方正书宋_GBK"/>
              </w:rPr>
              <w:t>2.通过对普通干线公路定点巡查、定时巡查、重点部位加强巡查，实现及时发现问题及时处理的效果；通过路面小修作业，确保路面桥面坑槽得到及时处理；达到标志标牌、护栏等安全设施齐全完好，从而实现行车安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日常养护里程数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霸州市域内国省干线公路是否全段落覆盖，包括桥涵及附属设施。</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养护小修路面维修平米数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实际完成工程量占计划完成工程的比率。以路面挖补面积数量和灌油缝延米数为依据。</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≥11000m2</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桥梁维修及检测覆盖率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霸州市域内国省干线公路段落上的桥梁是否养护维修到位，每年度是否100%进行技术检测。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应急处置抢险率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遇暴雨、大风及降雪等天气出现险情次数与实际及时处置次数的比率。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养护单项工程验收合格部分占总完成量的比率。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日常养护巡查频次</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有记录的养护巡查每年不少于313次，每周不少于6次。</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≥313次</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预算（成本）控制率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项目当期实际支出成本-项目当期预算）/项目当期预算*100%。</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&lt;3%</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行车安全度便捷度提高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通过对司乘人员进行回访统计，第三方评估等方式评价行车安全度、便捷度是否得到提高。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有所促进</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绿化覆盖率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中央绿化带及路肩以外路界内全绿化。</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陆域环境</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 xml:space="preserve">通过对管养路段绿化及安全附属设施的持续改善，提高我市境内国省干线公路的整体水平，以创建文明城市为契机，打造精品廊到。 </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社会公众对该项目实施后的满意程度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司乘人员满意度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司机及乘客对该项目实施后的满意程度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22.京德高速霸州段连接线工程前期工作经费★绩效目标表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22、京德高速霸州段连接线工程前期工作经费★绩效目标表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1.引线全长5.5公里，占用林地面积2.9807公顷，保证连接线工程与京德主线工程同时完成征地、拆迁、施工、通车等工作。达到京德主线筹建处满意。</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放线、埋桩、撒灰线作业长度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实际放线、埋桩、撒灰线工程长度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5.5公里</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编制报告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使用林地可行性报告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植被恢复面积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对工程实际占用的林地进行植被恢复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2.98公顷</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工程质量是否合格</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资金支付完成时间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及时完成资金支付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土地勘界、埋桩、放线预算控制数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土地勘界、埋桩、放线工作预算控制数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≤16.73万元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林业组卷工作预算控制数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林业组卷工作预算控制数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≤7万元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森林植被恢复工作预算控制数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森林植被恢复工作预算控制数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≤29.81万元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市民交通出行便捷程度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市民交通出行便捷程度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调查中京德主线筹建处对工程的满意度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23.治超专项经费绩效目标表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23、治超专项经费绩效目标表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1.提高公路等级水平，缓解繁忙路段交通压力。</w:t>
            </w:r>
          </w:p>
          <w:p>
            <w:pPr>
              <w:spacing w:line="300" w:lineRule="exact"/>
              <w:jc w:val="left"/>
              <w:rPr>
                <w:rFonts w:hint="eastAsia" w:ascii="方正书宋_GBK" w:eastAsia="方正书宋_GBK"/>
              </w:rPr>
            </w:pPr>
            <w:r>
              <w:rPr>
                <w:rFonts w:hint="eastAsia" w:ascii="方正书宋_GBK" w:eastAsia="方正书宋_GBK"/>
              </w:rPr>
              <w:t>2.维护路产路权，保障通行能力，提高服务水平，确保通车检测率在95%以上。</w:t>
            </w:r>
          </w:p>
          <w:p>
            <w:pPr>
              <w:spacing w:line="300" w:lineRule="exact"/>
              <w:jc w:val="left"/>
              <w:rPr>
                <w:rFonts w:ascii="方正书宋_GBK" w:eastAsia="方正书宋_GBK"/>
              </w:rPr>
            </w:pPr>
            <w:r>
              <w:rPr>
                <w:rFonts w:hint="eastAsia" w:ascii="方正书宋_GBK" w:eastAsia="方正书宋_GBK"/>
              </w:rPr>
              <w:t>3.通过治理超限运输，使超限超载率控制在2.5%以下.</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执法车辆运行维护</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执法车辆用油及维修维护</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≤6辆</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治超站场地租赁</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治超站场地租赁面积</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≥10065平方米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清理费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场地清扫、转运、卸载区物料</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≤36台班</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治超站点通车检测率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实际检测超限超载车辆数占全部通车数量的比率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资金支付时效</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≤12月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控制成本在预算以内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超限超载车辆占检测的车辆总数比率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24.关于提前下达2021年中央成品油税费改革转移支付预算的通知(冀财建[2020]276号)(廊坊市霸州市岔河集站普通公路超限检测站省补治超专项资金)绩效目标表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24、关于提前下达2021年中央成品油税费改革转移支付预算的通知(冀财建[2020]276号)(廊坊市霸州市岔河集站普通公路超限检测站省补治超专项资金)绩效目标表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1.提高公路等级水平，缓解繁忙路段交通压力。</w:t>
            </w:r>
          </w:p>
          <w:p>
            <w:pPr>
              <w:spacing w:line="300" w:lineRule="exact"/>
              <w:jc w:val="left"/>
              <w:rPr>
                <w:rFonts w:ascii="方正书宋_GBK" w:eastAsia="方正书宋_GBK"/>
              </w:rPr>
            </w:pPr>
            <w:r>
              <w:rPr>
                <w:rFonts w:hint="eastAsia" w:ascii="方正书宋_GBK" w:eastAsia="方正书宋_GBK"/>
              </w:rPr>
              <w:t>2.维护路产路权，治理超限运输，保障通行能力，提高服务水平，确保通车检测率在95%以上。</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治超站卸载区域硬化面积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治超站卸载区域硬化面积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≥609平方米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治超站预检系统地磅更新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治超站预检系统地磅更新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≥1套</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治超站点通车检测率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实际检测超限超载车辆数占全部通车数量的比率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各项工作实际完成时间与计划完成时间的比率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控制成本在预算以下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≤40万元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超限超载车辆占检测的车辆总数比率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治超工作人员满意度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调查对象中满意和较满意的数量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25.土地拍卖、划转税款绩效目标表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25、土地拍卖、划转税款绩效目标表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1.该资金用于支付应缴纳的土地拍卖、划转相关税款，完善资产处置中的手续，促进盘活、变现闲置资产。</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资金使用合规性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实际按规定支付税款的金额占计划支付金额的比率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按期完成支付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按照规定期限完成支付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成本控制于预算金额以下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≤721万元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对经济发展的促进作用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提升土地使用价值</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提升土地使用价值</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满意和较满意人数占调查人数的比例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r>
        <w:rPr>
          <w:rFonts w:hint="eastAsia" w:ascii="方正仿宋_GBK" w:eastAsia="方正仿宋_GBK"/>
          <w:b/>
          <w:sz w:val="28"/>
        </w:rPr>
        <w:t>26.关于提前下达2021年中央成品油税费改革转移支付预算的通知(冀财建[2020]276号)(补助农村公路养护工程资金)绩效目标表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26、关于提前下达2021年中央成品油税费改革转移支付预算的通知(冀财建[2020]276号)(补助农村公路养护工程资金)绩效目标表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1.科学合理制定全市农村公路的大中小修计划，及时完善道路沿线安全设施，确保道路的安全畅通；逐步提升农村公路路况水平，确保全市优良中等路占比不低于85%</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项目投资完成率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项目实际完成投资占年度计划投资的比例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维修道路路面</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对破损严重道路开展维修</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≥30000平米</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合格以上项目个数占总项目个数比例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工程完成及时情况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小于预算值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≤136万元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农村优良中等路占比</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优良中等路所占比例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抽取部分村街开展群众满意度调查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FF0000"/>
          <w:sz w:val="32"/>
          <w:szCs w:val="32"/>
        </w:rPr>
      </w:pPr>
      <w:bookmarkStart w:id="2"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3848.37</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8"/>
        <w:tblpPr w:leftFromText="180" w:rightFromText="180" w:vertAnchor="text" w:horzAnchor="page" w:tblpX="946" w:tblpY="614"/>
        <w:tblOverlap w:val="never"/>
        <w:tblW w:w="1531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85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815霸州</w:t>
            </w:r>
            <w:r>
              <w:rPr>
                <w:rFonts w:hint="eastAsia" w:ascii="方正小标宋_GBK" w:eastAsia="方正小标宋_GBK"/>
                <w:sz w:val="24"/>
                <w:lang w:val="en-US" w:eastAsia="zh-CN"/>
              </w:rPr>
              <w:t>市</w:t>
            </w:r>
            <w:r>
              <w:rPr>
                <w:rFonts w:ascii="方正小标宋_GBK" w:eastAsia="方正小标宋_GBK"/>
                <w:sz w:val="24"/>
              </w:rPr>
              <w:t>交通运输局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2930"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trPr>
        <w:tc>
          <w:tcPr>
            <w:tcW w:w="1796"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1"/>
              <w:rPr>
                <w:rFonts w:ascii="Times New Roman" w:eastAsia="方正仿宋_GBK"/>
                <w:sz w:val="28"/>
              </w:rPr>
            </w:pPr>
          </w:p>
        </w:tc>
        <w:tc>
          <w:tcPr>
            <w:tcW w:w="1531" w:type="dxa"/>
            <w:vMerge w:val="continue"/>
            <w:noWrap w:val="0"/>
            <w:vAlign w:val="center"/>
          </w:tcPr>
          <w:p>
            <w:pPr>
              <w:spacing w:line="300" w:lineRule="exact"/>
              <w:jc w:val="left"/>
              <w:outlineLvl w:val="1"/>
              <w:rPr>
                <w:rFonts w:ascii="Times New Roman" w:eastAsia="方正仿宋_GBK"/>
                <w:sz w:val="28"/>
              </w:rPr>
            </w:pPr>
          </w:p>
        </w:tc>
        <w:tc>
          <w:tcPr>
            <w:tcW w:w="709" w:type="dxa"/>
            <w:vMerge w:val="continue"/>
            <w:noWrap w:val="0"/>
            <w:vAlign w:val="center"/>
          </w:tcPr>
          <w:p>
            <w:pPr>
              <w:spacing w:line="300" w:lineRule="exact"/>
              <w:jc w:val="left"/>
              <w:outlineLvl w:val="1"/>
              <w:rPr>
                <w:rFonts w:ascii="Times New Roman" w:eastAsia="方正仿宋_GBK"/>
                <w:sz w:val="28"/>
              </w:rPr>
            </w:pPr>
          </w:p>
        </w:tc>
        <w:tc>
          <w:tcPr>
            <w:tcW w:w="907" w:type="dxa"/>
            <w:vMerge w:val="continue"/>
            <w:noWrap w:val="0"/>
            <w:vAlign w:val="center"/>
          </w:tcPr>
          <w:p>
            <w:pPr>
              <w:spacing w:line="300" w:lineRule="exact"/>
              <w:jc w:val="left"/>
              <w:outlineLvl w:val="1"/>
              <w:rPr>
                <w:rFonts w:ascii="Times New Roman" w:eastAsia="方正仿宋_GBK"/>
                <w:sz w:val="28"/>
              </w:rPr>
            </w:pPr>
          </w:p>
        </w:tc>
        <w:tc>
          <w:tcPr>
            <w:tcW w:w="907" w:type="dxa"/>
            <w:vMerge w:val="continue"/>
            <w:noWrap w:val="0"/>
            <w:vAlign w:val="center"/>
          </w:tcPr>
          <w:p>
            <w:pPr>
              <w:spacing w:line="300" w:lineRule="exact"/>
              <w:jc w:val="left"/>
              <w:outlineLvl w:val="1"/>
              <w:rPr>
                <w:rFonts w:ascii="Times New Roman"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3848.37</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3848.37</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霸州交通运输局本级小计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3848.37</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3848.37</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0.80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0.48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0.96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0.96</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0.45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A0201060101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0.24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0.24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0.24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A0201060101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A0201060102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0.80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0.90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0.90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844.86</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A060503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工程审计费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公交发展规划设计费★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19.95</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19.95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2021年农村公路建设养护发展专项资金的通知(冀财建[2020]288号)</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2021年中央成品油税费改革转移支付预算的通知(冀财建[2020]276号)(补助农村公路养护工程资金)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136.00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国省干线公路日常养护经费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614.00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614.00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614.00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614.00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京德高速霸州段连接线工程前期工作经费★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53.54</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53.54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53.54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53.54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九通一平工程款</w:t>
            </w:r>
            <w:r>
              <w:rPr>
                <w:rFonts w:ascii="方正书宋_GBK" w:eastAsia="方正书宋_GBK"/>
              </w:rPr>
              <w:t>(工程旧欠)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67.82</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67.82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67.82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67.82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农村公路日常养护资金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农村公路养护补助资金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246.00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农村公路养护配套资金★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省道</w:t>
            </w:r>
            <w:r>
              <w:rPr>
                <w:rFonts w:ascii="方正书宋_GBK" w:eastAsia="方正书宋_GBK"/>
              </w:rPr>
              <w:t>S222廊坊至大城公路（原廊泊公路）堂二里至胜芳绕城段改建工程500KV吴霸线迁改资金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新河路建设工程传输局国防光缆迁改费用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36.41</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公路工程施工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36.41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36.41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36.41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b w:val="0"/>
          <w:bCs w:val="0"/>
          <w:color w:val="auto"/>
          <w:sz w:val="32"/>
          <w:szCs w:val="32"/>
        </w:rPr>
        <w:t>霸州市</w:t>
      </w:r>
      <w:r>
        <w:rPr>
          <w:rFonts w:hint="eastAsia" w:ascii="仿宋_GB2312" w:hAnsi="黑体" w:eastAsia="仿宋_GB2312" w:cs="Times New Roman"/>
          <w:b w:val="0"/>
          <w:bCs w:val="0"/>
          <w:color w:val="auto"/>
          <w:sz w:val="32"/>
          <w:szCs w:val="32"/>
          <w:lang w:val="en-US" w:eastAsia="zh-CN"/>
        </w:rPr>
        <w:t>交通运输局</w:t>
      </w:r>
      <w:r>
        <w:rPr>
          <w:rFonts w:hint="eastAsia" w:ascii="仿宋_GB2312" w:hAnsi="黑体" w:eastAsia="仿宋_GB2312" w:cs="Times New Roman"/>
          <w:b w:val="0"/>
          <w:bCs w:val="0"/>
          <w:color w:val="auto"/>
          <w:sz w:val="32"/>
          <w:szCs w:val="32"/>
        </w:rPr>
        <w:t>（含所属单位）上年末固定资产金额为7672.82万元（详见下表）。本年度各单位（处室）拟购置固定资产总额</w:t>
      </w:r>
      <w:r>
        <w:rPr>
          <w:rFonts w:ascii="仿宋_GB2312" w:hAnsi="黑体" w:eastAsia="仿宋_GB2312" w:cs="Times New Roman"/>
          <w:b w:val="0"/>
          <w:bCs w:val="0"/>
          <w:color w:val="auto"/>
          <w:sz w:val="32"/>
          <w:szCs w:val="32"/>
        </w:rPr>
        <w:t>为</w:t>
      </w:r>
      <w:r>
        <w:rPr>
          <w:rFonts w:hint="eastAsia" w:ascii="仿宋_GB2312" w:hAnsi="黑体" w:eastAsia="仿宋_GB2312" w:cs="Times New Roman"/>
          <w:b w:val="0"/>
          <w:bCs w:val="0"/>
          <w:color w:val="auto"/>
          <w:sz w:val="32"/>
          <w:szCs w:val="32"/>
          <w:lang w:val="en-US" w:eastAsia="zh-CN"/>
        </w:rPr>
        <w:t>11.58</w:t>
      </w:r>
      <w:r>
        <w:rPr>
          <w:rFonts w:ascii="仿宋_GB2312" w:hAnsi="黑体" w:eastAsia="仿宋_GB2312" w:cs="Times New Roman"/>
          <w:b w:val="0"/>
          <w:bCs w:val="0"/>
          <w:color w:val="auto"/>
          <w:sz w:val="32"/>
          <w:szCs w:val="32"/>
        </w:rPr>
        <w:t>万元</w:t>
      </w:r>
      <w:r>
        <w:rPr>
          <w:rFonts w:hint="eastAsia" w:ascii="仿宋_GB2312" w:hAnsi="黑体" w:eastAsia="仿宋_GB2312" w:cs="Times New Roman"/>
          <w:b w:val="0"/>
          <w:bCs w:val="0"/>
          <w:color w:val="auto"/>
          <w:sz w:val="32"/>
          <w:szCs w:val="32"/>
        </w:rPr>
        <w:t>，主要为计算机设备、打印设备、空调、办公家具等，已列入政府采购预算，详见政府采购</w:t>
      </w:r>
      <w:r>
        <w:rPr>
          <w:rFonts w:ascii="仿宋_GB2312" w:hAnsi="黑体" w:eastAsia="仿宋_GB2312" w:cs="Times New Roman"/>
          <w:b w:val="0"/>
          <w:bCs w:val="0"/>
          <w:color w:val="auto"/>
          <w:sz w:val="32"/>
          <w:szCs w:val="32"/>
        </w:rPr>
        <w:t>预算表</w:t>
      </w:r>
      <w:r>
        <w:rPr>
          <w:rFonts w:hint="eastAsia" w:ascii="仿宋_GB2312" w:hAnsi="黑体" w:eastAsia="仿宋_GB2312" w:cs="Times New Roman"/>
          <w:b w:val="0"/>
          <w:bCs w:val="0"/>
          <w:color w:val="auto"/>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交通运输局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815</w:t>
            </w:r>
            <w:r>
              <w:rPr>
                <w:rFonts w:hint="eastAsia" w:ascii="宋体" w:hAnsi="宋体" w:eastAsia="宋体" w:cs="宋体"/>
                <w:kern w:val="0"/>
                <w:sz w:val="22"/>
              </w:rPr>
              <w:t>霸州</w:t>
            </w:r>
            <w:r>
              <w:rPr>
                <w:rFonts w:hint="eastAsia" w:ascii="宋体" w:hAnsi="宋体" w:eastAsia="宋体" w:cs="宋体"/>
                <w:kern w:val="0"/>
                <w:sz w:val="22"/>
                <w:lang w:val="en-US" w:eastAsia="zh-CN"/>
              </w:rPr>
              <w:t>交通运输局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7672.82</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36528.45</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4415.11</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25355.66</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3185.4</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28</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365.6</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30</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1303.46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1296</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1588.65</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10E1"/>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186310"/>
    <w:rsid w:val="0B0D40FD"/>
    <w:rsid w:val="0C1027BC"/>
    <w:rsid w:val="172F7DF3"/>
    <w:rsid w:val="1A61355D"/>
    <w:rsid w:val="2054547A"/>
    <w:rsid w:val="25843B26"/>
    <w:rsid w:val="27DD7845"/>
    <w:rsid w:val="286D30D2"/>
    <w:rsid w:val="2B38184C"/>
    <w:rsid w:val="2D8740D5"/>
    <w:rsid w:val="3B544BE4"/>
    <w:rsid w:val="3DD039E5"/>
    <w:rsid w:val="40E86752"/>
    <w:rsid w:val="462E66F3"/>
    <w:rsid w:val="4F5F4B3F"/>
    <w:rsid w:val="5141362C"/>
    <w:rsid w:val="52FC1307"/>
    <w:rsid w:val="55E155BE"/>
    <w:rsid w:val="59124D57"/>
    <w:rsid w:val="59E12408"/>
    <w:rsid w:val="5E816784"/>
    <w:rsid w:val="5FF728F5"/>
    <w:rsid w:val="63502E38"/>
    <w:rsid w:val="654805BF"/>
    <w:rsid w:val="736A0FE8"/>
    <w:rsid w:val="7BBC015A"/>
    <w:rsid w:val="7C054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31</TotalTime>
  <ScaleCrop>false</ScaleCrop>
  <LinksUpToDate>false</LinksUpToDate>
  <CharactersWithSpaces>3329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等待</cp:lastModifiedBy>
  <cp:lastPrinted>2018-02-28T01:51:00Z</cp:lastPrinted>
  <dcterms:modified xsi:type="dcterms:W3CDTF">2022-09-08T01:37:49Z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